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default" w:ascii="黑体" w:eastAsia="黑体"/>
          <w:sz w:val="44"/>
          <w:szCs w:val="44"/>
          <w:lang w:val="en-US" w:eastAsia="zh-CN"/>
        </w:rPr>
      </w:pPr>
      <w:r>
        <w:rPr>
          <w:rFonts w:hint="eastAsia" w:ascii="黑体" w:eastAsia="黑体"/>
          <w:sz w:val="44"/>
          <w:szCs w:val="44"/>
          <w:lang w:val="en-US" w:eastAsia="zh-CN"/>
        </w:rPr>
        <w:t>中共衡山县纪律检查委员会</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pStyle w:val="9"/>
        <w:widowControl/>
        <w:spacing w:line="600" w:lineRule="exact"/>
        <w:ind w:firstLine="620"/>
        <w:rPr>
          <w:rFonts w:ascii="黑体" w:hAnsi="黑体" w:eastAsia="黑体"/>
          <w:sz w:val="32"/>
          <w:szCs w:val="32"/>
        </w:rPr>
      </w:pPr>
    </w:p>
    <w:p>
      <w:pPr>
        <w:pStyle w:val="9"/>
        <w:keepNext w:val="0"/>
        <w:keepLines w:val="0"/>
        <w:pageBreakBefore w:val="0"/>
        <w:widowControl/>
        <w:numPr>
          <w:ilvl w:val="0"/>
          <w:numId w:val="1"/>
        </w:numPr>
        <w:kinsoku/>
        <w:wordWrap/>
        <w:overflowPunct/>
        <w:topLinePunct w:val="0"/>
        <w:autoSpaceDE/>
        <w:autoSpaceDN/>
        <w:bidi w:val="0"/>
        <w:adjustRightInd/>
        <w:snapToGrid/>
        <w:spacing w:line="580" w:lineRule="exact"/>
        <w:ind w:firstLine="620"/>
        <w:textAlignment w:val="auto"/>
        <w:rPr>
          <w:rFonts w:hint="eastAsia" w:ascii="黑体" w:hAnsi="黑体" w:eastAsia="黑体"/>
          <w:sz w:val="32"/>
          <w:szCs w:val="32"/>
        </w:rPr>
      </w:pPr>
      <w:r>
        <w:rPr>
          <w:rFonts w:hint="eastAsia" w:ascii="黑体" w:hAnsi="黑体" w:eastAsia="黑体"/>
          <w:sz w:val="32"/>
          <w:szCs w:val="32"/>
        </w:rPr>
        <w:t>部门、单位基本情况</w:t>
      </w:r>
    </w:p>
    <w:p>
      <w:pPr>
        <w:pStyle w:val="9"/>
        <w:keepNext w:val="0"/>
        <w:keepLines w:val="0"/>
        <w:pageBreakBefore w:val="0"/>
        <w:widowControl/>
        <w:numPr>
          <w:ilvl w:val="0"/>
          <w:numId w:val="2"/>
        </w:numPr>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机构、人员情况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黑体" w:hAnsi="黑体" w:eastAsia="黑体"/>
          <w:sz w:val="32"/>
          <w:szCs w:val="32"/>
        </w:rPr>
      </w:pPr>
      <w:r>
        <w:rPr>
          <w:rFonts w:hint="eastAsia" w:ascii="仿宋_GB2312" w:hAnsi="仿宋_GB2312" w:eastAsia="仿宋_GB2312" w:cs="仿宋_GB2312"/>
          <w:sz w:val="32"/>
          <w:szCs w:val="32"/>
        </w:rPr>
        <w:t>中共衡山县纪律检查委员会、衡山县监察委员会是党统一领导下的反腐败工作机构，履行纪检、监察两项职责，实行一套工作机构、两个机关名称，共同设立内设机构，为</w:t>
      </w:r>
      <w:r>
        <w:rPr>
          <w:rFonts w:hint="eastAsia" w:ascii="仿宋_GB2312" w:hAnsi="仿宋_GB2312" w:eastAsia="仿宋_GB2312" w:cs="仿宋_GB2312"/>
          <w:sz w:val="32"/>
          <w:szCs w:val="32"/>
          <w:lang w:val="en-US" w:eastAsia="zh-CN"/>
        </w:rPr>
        <w:t>正科</w:t>
      </w:r>
      <w:r>
        <w:rPr>
          <w:rFonts w:hint="eastAsia" w:ascii="仿宋_GB2312" w:hAnsi="仿宋_GB2312" w:eastAsia="仿宋_GB2312" w:cs="仿宋_GB2312"/>
          <w:sz w:val="32"/>
          <w:szCs w:val="32"/>
        </w:rPr>
        <w:t>级全额拨款单位。县纪委县监委机关设立办公室、组织部、宣传部、党风政风监督室、信访室、案件监督管理室、第一至第四纪检监察室、纪检监察干部监督室、案件审理室、信息技术保障室共13个内设机构；下设财务监察所、廉政教育培训中心2个二级机构。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月，共有编制82名，实有人数</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人，其中财政供养在职</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人、离退休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人；现有车辆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w:t>
      </w:r>
    </w:p>
    <w:p>
      <w:pPr>
        <w:pStyle w:val="9"/>
        <w:keepNext w:val="0"/>
        <w:keepLines w:val="0"/>
        <w:pageBreakBefore w:val="0"/>
        <w:widowControl/>
        <w:numPr>
          <w:ilvl w:val="0"/>
          <w:numId w:val="2"/>
        </w:numPr>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主要工作职能</w:t>
      </w:r>
      <w:bookmarkStart w:id="0" w:name="_GoBack"/>
      <w:bookmarkEnd w:id="0"/>
    </w:p>
    <w:p>
      <w:pPr>
        <w:pStyle w:val="9"/>
        <w:keepNext w:val="0"/>
        <w:keepLines w:val="0"/>
        <w:pageBreakBefore w:val="0"/>
        <w:widowControl/>
        <w:numPr>
          <w:ilvl w:val="0"/>
          <w:numId w:val="0"/>
        </w:numPr>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（一）县纪委主要职能职责</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1.贯彻落实党中央，中央纪委，省委、省纪委，市委、市纪委和县委党风廉政建设和党纪检查的指示、决定，领导全县和省市在衡单位党的纪律检查工作。</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2.维护党的章程和其他党内法规，协助县委整顿党风，检查党的路线、政策和决议的执行情况，重点检查乡科级党员领导干部执行党的路线、政策和决议的情况，以及思想作风等方面的情况。</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3.负责对党员进行纪律教育，作出关于维护党纪的决定。</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4.负责检查并处理全县各级党的组织和党员违反党的章程、其他党内法规和国家法律、法令的比较重要或复杂的案件，按照管理权限决定或取消这些案件中的党员的处分。</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5.受理人民群众和单位反映党组织和党员的违纪问题的来信来访及其检举、控告；受理党员的控告和申诉，保护党员的民主权利和合法权益。</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6.调查、监督各级党组织和党员遵纪守法情况，研究党风党纪问题，建立健全党内监督制度。</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7.协助县委组织、协调、指导各执法、执纪、监管部门开展反腐败斗争；牵头抓全县党风廉政建设责任制工作。</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8.会同有关部门和单位，负责乡镇纪委领导班子建设，承办乡镇纪委书记、副书记提名和考察等干部人事工作和县直单位内设纪检监察机构领导班子考察、任免及组织建设等相关工作。</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9.承办县委和上级纪委授权或交办的其他事项。</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（二）县监委主要职能职责</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1.监察委员会的职能是：维护宪法和法律法规权威；依法监察公职人员行使公权力情况，调查职务违法和职务犯罪；开展廉政建设和反腐败工作。</w:t>
      </w:r>
    </w:p>
    <w:p>
      <w:pPr>
        <w:keepNext w:val="0"/>
        <w:keepLines w:val="0"/>
        <w:pageBreakBefore w:val="0"/>
        <w:widowControl/>
        <w:kinsoku/>
        <w:wordWrap/>
        <w:overflowPunct/>
        <w:topLinePunct w:val="0"/>
        <w:autoSpaceDE/>
        <w:autoSpaceDN/>
        <w:bidi w:val="0"/>
        <w:adjustRightInd/>
        <w:snapToGrid/>
        <w:spacing w:line="580" w:lineRule="exact"/>
        <w:ind w:firstLine="610" w:firstLineChars="196"/>
        <w:jc w:val="left"/>
        <w:textAlignment w:val="auto"/>
        <w:rPr>
          <w:rFonts w:hint="eastAsia" w:ascii="仿宋" w:hAnsi="仿宋" w:eastAsia="仿宋" w:cs="仿宋"/>
          <w:i w:val="0"/>
          <w:caps w:val="0"/>
          <w:color w:val="auto"/>
          <w:spacing w:val="0"/>
          <w:sz w:val="30"/>
          <w:szCs w:val="30"/>
          <w:u w:val="none"/>
          <w:shd w:val="clear" w:fill="FFFFFF"/>
          <w:lang w:eastAsia="zh-CN"/>
        </w:rPr>
      </w:pPr>
      <w:r>
        <w:rPr>
          <w:rFonts w:hint="eastAsia" w:ascii="仿宋_GB2312" w:hAnsi="仿宋_GB2312" w:eastAsia="仿宋_GB2312" w:cs="仿宋_GB2312"/>
          <w:color w:val="000000"/>
          <w:sz w:val="32"/>
          <w:szCs w:val="32"/>
        </w:rPr>
        <w:t>2.监察委员会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pStyle w:val="9"/>
        <w:keepNext w:val="0"/>
        <w:keepLines w:val="0"/>
        <w:pageBreakBefore w:val="0"/>
        <w:widowControl/>
        <w:kinsoku/>
        <w:wordWrap/>
        <w:overflowPunct/>
        <w:topLinePunct w:val="0"/>
        <w:autoSpaceDE/>
        <w:autoSpaceDN/>
        <w:bidi w:val="0"/>
        <w:adjustRightInd/>
        <w:snapToGrid/>
        <w:spacing w:line="580" w:lineRule="exact"/>
        <w:ind w:firstLine="620"/>
        <w:textAlignment w:val="auto"/>
        <w:rPr>
          <w:rFonts w:hint="eastAsia" w:ascii="黑体" w:hAnsi="黑体" w:eastAsia="黑体"/>
          <w:sz w:val="32"/>
          <w:szCs w:val="32"/>
        </w:rPr>
      </w:pPr>
      <w:r>
        <w:rPr>
          <w:rFonts w:hint="eastAsia" w:ascii="黑体" w:hAnsi="黑体" w:eastAsia="黑体"/>
          <w:sz w:val="32"/>
          <w:szCs w:val="32"/>
        </w:rPr>
        <w:t>二、基本支出情况</w:t>
      </w:r>
    </w:p>
    <w:p>
      <w:pPr>
        <w:pStyle w:val="9"/>
        <w:keepNext w:val="0"/>
        <w:keepLines w:val="0"/>
        <w:pageBreakBefore w:val="0"/>
        <w:widowControl/>
        <w:numPr>
          <w:ilvl w:val="0"/>
          <w:numId w:val="0"/>
        </w:numPr>
        <w:tabs>
          <w:tab w:val="left" w:pos="3821"/>
        </w:tabs>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2021年部门决算基本支出总计1,288,7788.29元，工资福利支出9,174,244.75元，其中基本工资2,930,023.00元、津贴补贴2,460,705.00元、奖金214,034.00元、绩效工资733,798.00元、机关单位养老保险884,596.13元、职工基本医疗保险513,513.62元、住房公积金1,192,600.00元、伙食补助费31,320.00元、其他社会保障缴费44,155.00元、其他工资福利支出169,500.00元；商品服务支出2,369,105.04元，其中办公费1,250,184.40元、印刷费135,428.00元、水电费63,112.95元、维修（护）费73,525.00元、租赁费6,981.52元、会议费16,032.00元、培训费45,484.60元、劳务费41,888.00元、委托业务费10,500.00元、差旅费92,098.00元、公务接待费5,568.00元、公务用车运行维护费30,000.00元、其他交通费用81,444.57元、福利费52,455.00元、其他商品和服务支出464,403.00元；对个人和家庭补助支出909，728.50元，其中生活补助536,618.00元、奖励金284,580.50元、其他对个人和家庭补助支出88,530.00元；资本性支出434,710.00元，其中办公设备购置费434,710.00元。</w:t>
      </w:r>
    </w:p>
    <w:p>
      <w:pPr>
        <w:pStyle w:val="9"/>
        <w:keepNext w:val="0"/>
        <w:keepLines w:val="0"/>
        <w:pageBreakBefore w:val="0"/>
        <w:widowControl/>
        <w:kinsoku/>
        <w:wordWrap/>
        <w:overflowPunct/>
        <w:topLinePunct w:val="0"/>
        <w:autoSpaceDE/>
        <w:autoSpaceDN/>
        <w:bidi w:val="0"/>
        <w:adjustRightInd/>
        <w:snapToGrid/>
        <w:spacing w:line="580" w:lineRule="exact"/>
        <w:ind w:firstLine="620"/>
        <w:textAlignment w:val="auto"/>
        <w:rPr>
          <w:rFonts w:ascii="黑体" w:hAnsi="黑体" w:eastAsia="黑体"/>
          <w:sz w:val="32"/>
          <w:szCs w:val="32"/>
        </w:rPr>
      </w:pPr>
      <w:r>
        <w:rPr>
          <w:rFonts w:hint="eastAsia" w:ascii="黑体" w:hAnsi="黑体" w:eastAsia="黑体"/>
          <w:sz w:val="32"/>
          <w:szCs w:val="32"/>
        </w:rPr>
        <w:t>三、项目支出情况</w:t>
      </w:r>
    </w:p>
    <w:p>
      <w:pPr>
        <w:pStyle w:val="9"/>
        <w:keepNext w:val="0"/>
        <w:keepLines w:val="0"/>
        <w:pageBreakBefore w:val="0"/>
        <w:widowControl/>
        <w:numPr>
          <w:ilvl w:val="0"/>
          <w:numId w:val="0"/>
        </w:numPr>
        <w:tabs>
          <w:tab w:val="left" w:pos="3821"/>
        </w:tabs>
        <w:kinsoku/>
        <w:wordWrap/>
        <w:overflowPunct/>
        <w:topLinePunct w:val="0"/>
        <w:autoSpaceDE/>
        <w:autoSpaceDN/>
        <w:bidi w:val="0"/>
        <w:adjustRightInd/>
        <w:snapToGrid/>
        <w:spacing w:line="580" w:lineRule="exact"/>
        <w:ind w:firstLine="58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黑体" w:eastAsia="仿宋_GB2312"/>
          <w:sz w:val="30"/>
          <w:szCs w:val="30"/>
          <w:lang w:val="en-US" w:eastAsia="zh-CN"/>
        </w:rPr>
        <w:t>（一）</w:t>
      </w:r>
      <w:r>
        <w:rPr>
          <w:rFonts w:hint="eastAsia" w:ascii="仿宋_GB2312" w:hAnsi="仿宋_GB2312" w:eastAsia="仿宋_GB2312" w:cs="仿宋_GB2312"/>
          <w:b w:val="0"/>
          <w:bCs w:val="0"/>
          <w:sz w:val="32"/>
          <w:szCs w:val="32"/>
          <w:lang w:val="en-US" w:eastAsia="zh-CN"/>
        </w:rPr>
        <w:t>2021年项目支出资金分配安排和使用管理情况</w:t>
      </w:r>
    </w:p>
    <w:p>
      <w:pPr>
        <w:pStyle w:val="9"/>
        <w:keepNext w:val="0"/>
        <w:keepLines w:val="0"/>
        <w:pageBreakBefore w:val="0"/>
        <w:widowControl/>
        <w:numPr>
          <w:ilvl w:val="0"/>
          <w:numId w:val="0"/>
        </w:numPr>
        <w:tabs>
          <w:tab w:val="left" w:pos="3821"/>
        </w:tabs>
        <w:kinsoku/>
        <w:wordWrap/>
        <w:overflowPunct/>
        <w:topLinePunct w:val="0"/>
        <w:autoSpaceDE/>
        <w:autoSpaceDN/>
        <w:bidi w:val="0"/>
        <w:adjustRightInd/>
        <w:snapToGrid/>
        <w:spacing w:line="580" w:lineRule="exact"/>
        <w:ind w:firstLine="62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2021年项目支出年初预算3,037,800.00元，主要项目包括单位业务费、纪检监察审查调查成本支出、谈话室运行维护费、纪检监察网络系统维护费、乡镇纪委工作经费、纪检监察信访工作奖励资金、廉政教育宣传片拍摄费、警示教育片拍摄费、党风廉政教育书籍费、县纪委监委办案业务用房改扩建经费、工会经费等。</w:t>
      </w:r>
    </w:p>
    <w:p>
      <w:pPr>
        <w:pStyle w:val="9"/>
        <w:keepNext w:val="0"/>
        <w:keepLines w:val="0"/>
        <w:pageBreakBefore w:val="0"/>
        <w:widowControl/>
        <w:numPr>
          <w:ilvl w:val="0"/>
          <w:numId w:val="0"/>
        </w:numPr>
        <w:tabs>
          <w:tab w:val="left" w:pos="3821"/>
        </w:tabs>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2.项目支出使用和管理情况</w:t>
      </w:r>
    </w:p>
    <w:p>
      <w:pPr>
        <w:pStyle w:val="9"/>
        <w:keepNext w:val="0"/>
        <w:keepLines w:val="0"/>
        <w:pageBreakBefore w:val="0"/>
        <w:widowControl/>
        <w:numPr>
          <w:ilvl w:val="0"/>
          <w:numId w:val="0"/>
        </w:numPr>
        <w:tabs>
          <w:tab w:val="left" w:pos="3821"/>
        </w:tabs>
        <w:kinsoku/>
        <w:wordWrap/>
        <w:overflowPunct/>
        <w:topLinePunct w:val="0"/>
        <w:autoSpaceDE/>
        <w:autoSpaceDN/>
        <w:bidi w:val="0"/>
        <w:adjustRightInd/>
        <w:snapToGrid/>
        <w:spacing w:line="580" w:lineRule="exact"/>
        <w:ind w:firstLine="62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2021年项目工作经费资金年初预算3,037,800.00元，上年结转专项资金0元，本年项目支出财政拨款4,523,330.23元，调整预算数4,523,330.23元；决算项目支出4,523,330.23元，工资福利支出5,400.00元、商品服务支出 3,361,030.06元、对个人和家庭补助支出991,410.00元、资本性支出165,490.17元。年终结余0元。项目资金执行完成率100%。</w:t>
      </w:r>
    </w:p>
    <w:p>
      <w:pPr>
        <w:keepNext w:val="0"/>
        <w:keepLines w:val="0"/>
        <w:pageBreakBefore w:val="0"/>
        <w:widowControl/>
        <w:kinsoku/>
        <w:wordWrap/>
        <w:overflowPunct/>
        <w:topLinePunct w:val="0"/>
        <w:autoSpaceDE/>
        <w:autoSpaceDN/>
        <w:bidi w:val="0"/>
        <w:adjustRightInd/>
        <w:snapToGrid/>
        <w:spacing w:line="580" w:lineRule="exact"/>
        <w:ind w:firstLine="645"/>
        <w:jc w:val="left"/>
        <w:textAlignment w:val="auto"/>
        <w:rPr>
          <w:rFonts w:ascii="黑体" w:hAnsi="黑体" w:eastAsia="黑体"/>
          <w:sz w:val="32"/>
          <w:szCs w:val="32"/>
        </w:rPr>
      </w:pPr>
      <w:r>
        <w:rPr>
          <w:rFonts w:hint="eastAsia" w:ascii="黑体" w:hAnsi="黑体" w:eastAsia="黑体"/>
          <w:sz w:val="32"/>
          <w:szCs w:val="32"/>
        </w:rPr>
        <w:t>四、部门整体支出绩效情况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lang w:val="en-US" w:eastAsia="zh-CN"/>
        </w:rPr>
        <w:t>2021</w:t>
      </w:r>
      <w:r>
        <w:rPr>
          <w:rFonts w:hint="eastAsia" w:ascii="仿宋_GB2312" w:hAnsi="仿宋_GB2312" w:eastAsia="仿宋_GB2312" w:cs="仿宋_GB2312"/>
          <w:sz w:val="32"/>
          <w:szCs w:val="32"/>
          <w:shd w:val="clear"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hint="eastAsia" w:ascii="仿宋_GB2312" w:hAnsi="仿宋_GB2312" w:eastAsia="仿宋_GB2312" w:cs="仿宋_GB2312"/>
          <w:sz w:val="32"/>
          <w:szCs w:val="32"/>
          <w:shd w:val="clear" w:fill="FFFFFF"/>
          <w:lang w:val="en-US" w:eastAsia="zh-CN"/>
        </w:rPr>
        <w:t>2021</w:t>
      </w:r>
      <w:r>
        <w:rPr>
          <w:rFonts w:hint="eastAsia" w:ascii="仿宋_GB2312" w:hAnsi="仿宋_GB2312" w:eastAsia="仿宋_GB2312" w:cs="仿宋_GB2312"/>
          <w:sz w:val="32"/>
          <w:szCs w:val="32"/>
          <w:shd w:val="clear" w:fill="FFFFFF"/>
        </w:rPr>
        <w:t>年度评价得分为</w:t>
      </w:r>
      <w:r>
        <w:rPr>
          <w:rFonts w:hint="eastAsia" w:ascii="仿宋_GB2312" w:hAnsi="仿宋_GB2312" w:eastAsia="仿宋_GB2312" w:cs="仿宋_GB2312"/>
          <w:color w:val="auto"/>
          <w:sz w:val="32"/>
          <w:szCs w:val="32"/>
          <w:u w:val="none"/>
          <w:shd w:val="clear" w:fill="FFFFFF"/>
          <w:lang w:val="en-US" w:eastAsia="zh-CN"/>
        </w:rPr>
        <w:t>87</w:t>
      </w:r>
      <w:r>
        <w:rPr>
          <w:rFonts w:hint="eastAsia" w:ascii="仿宋_GB2312" w:hAnsi="仿宋_GB2312" w:eastAsia="仿宋_GB2312" w:cs="仿宋_GB2312"/>
          <w:sz w:val="32"/>
          <w:szCs w:val="32"/>
          <w:shd w:val="clear" w:fill="FFFFFF"/>
        </w:rPr>
        <w:t>分。部门整体支出绩效情况</w:t>
      </w:r>
      <w:r>
        <w:rPr>
          <w:rFonts w:hint="eastAsia" w:ascii="仿宋_GB2312" w:hAnsi="仿宋_GB2312" w:eastAsia="仿宋_GB2312" w:cs="仿宋_GB2312"/>
          <w:sz w:val="32"/>
          <w:szCs w:val="32"/>
          <w:shd w:val="clear" w:fill="FFFFFF"/>
          <w:lang w:eastAsia="zh-CN"/>
        </w:rPr>
        <w:t>如下：</w:t>
      </w:r>
    </w:p>
    <w:p>
      <w:pPr>
        <w:keepNext w:val="0"/>
        <w:keepLines w:val="0"/>
        <w:pageBreakBefore w:val="0"/>
        <w:widowControl/>
        <w:kinsoku/>
        <w:wordWrap/>
        <w:overflowPunct/>
        <w:topLinePunct w:val="0"/>
        <w:autoSpaceDE/>
        <w:autoSpaceDN/>
        <w:bidi w:val="0"/>
        <w:adjustRightInd/>
        <w:snapToGrid/>
        <w:spacing w:line="580" w:lineRule="exact"/>
        <w:ind w:firstLine="645"/>
        <w:jc w:val="left"/>
        <w:textAlignment w:val="auto"/>
        <w:rPr>
          <w:rFonts w:ascii="黑体" w:hAnsi="黑体" w:eastAsia="黑体"/>
          <w:sz w:val="32"/>
          <w:szCs w:val="32"/>
        </w:rPr>
      </w:pPr>
      <w:r>
        <w:rPr>
          <w:rFonts w:hint="eastAsia" w:ascii="黑体" w:hAnsi="黑体" w:eastAsia="黑体"/>
          <w:sz w:val="32"/>
          <w:szCs w:val="32"/>
        </w:rPr>
        <w:t>五、存在的主要问题及下一步改进措施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1、细化预算编制工作，认真做好预算的编制。进一步加强单位内部机构各股室的预算管理意识，严格按照预算编制的相关制度和要求进行预算编制。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2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4、对相关人员加强培训，特别是针对《预算法》、《行政事业单位会计制度》等学习培训，规范部门预算收支核算，切实提高部门预算收支管理水平</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5"/>
        <w:jc w:val="left"/>
        <w:textAlignment w:val="auto"/>
        <w:rPr>
          <w:rFonts w:hint="eastAsia" w:ascii="黑体" w:hAnsi="黑体" w:eastAsia="黑体"/>
          <w:sz w:val="32"/>
          <w:szCs w:val="32"/>
        </w:rPr>
      </w:pPr>
      <w:r>
        <w:rPr>
          <w:rFonts w:hint="eastAsia" w:ascii="黑体" w:hAnsi="黑体" w:eastAsia="黑体"/>
          <w:sz w:val="32"/>
          <w:szCs w:val="32"/>
        </w:rPr>
        <w:t>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82" w:firstLineChars="200"/>
        <w:jc w:val="left"/>
        <w:textAlignment w:val="auto"/>
        <w:rPr>
          <w:rFonts w:hint="eastAsia" w:ascii="黑体" w:hAnsi="黑体" w:eastAsia="黑体"/>
          <w:sz w:val="32"/>
          <w:szCs w:val="32"/>
        </w:rPr>
      </w:pPr>
      <w:r>
        <w:rPr>
          <w:rFonts w:hint="eastAsia" w:ascii="仿宋" w:hAnsi="仿宋" w:eastAsia="仿宋" w:cs="仿宋"/>
          <w:sz w:val="30"/>
          <w:szCs w:val="30"/>
          <w:lang w:eastAsia="zh-CN"/>
        </w:rPr>
        <w:t>绩效自评结果得分</w:t>
      </w:r>
      <w:r>
        <w:rPr>
          <w:rFonts w:hint="eastAsia" w:ascii="仿宋" w:hAnsi="仿宋" w:eastAsia="仿宋" w:cs="仿宋"/>
          <w:sz w:val="30"/>
          <w:szCs w:val="30"/>
          <w:u w:val="none"/>
          <w:lang w:val="en-US" w:eastAsia="zh-CN"/>
        </w:rPr>
        <w:t>87</w:t>
      </w:r>
      <w:r>
        <w:rPr>
          <w:rFonts w:hint="eastAsia" w:ascii="仿宋" w:hAnsi="仿宋" w:eastAsia="仿宋" w:cs="仿宋"/>
          <w:sz w:val="30"/>
          <w:szCs w:val="30"/>
          <w:lang w:val="en-US" w:eastAsia="zh-CN"/>
        </w:rPr>
        <w:t>分，详细情况在衡山县纪委门户网站公示。</w:t>
      </w:r>
    </w:p>
    <w:p>
      <w:pPr>
        <w:keepNext w:val="0"/>
        <w:keepLines w:val="0"/>
        <w:pageBreakBefore w:val="0"/>
        <w:widowControl/>
        <w:kinsoku/>
        <w:wordWrap/>
        <w:overflowPunct/>
        <w:topLinePunct w:val="0"/>
        <w:autoSpaceDE/>
        <w:autoSpaceDN/>
        <w:bidi w:val="0"/>
        <w:adjustRightInd/>
        <w:snapToGrid/>
        <w:spacing w:line="580" w:lineRule="exact"/>
        <w:ind w:firstLine="645"/>
        <w:jc w:val="left"/>
        <w:textAlignment w:val="auto"/>
        <w:rPr>
          <w:rFonts w:ascii="黑体" w:hAnsi="黑体" w:eastAsia="黑体"/>
          <w:sz w:val="32"/>
          <w:szCs w:val="32"/>
        </w:rPr>
      </w:pPr>
      <w:r>
        <w:rPr>
          <w:rFonts w:hint="eastAsia" w:ascii="黑体" w:hAnsi="黑体" w:eastAsia="黑体"/>
          <w:sz w:val="32"/>
          <w:szCs w:val="32"/>
        </w:rPr>
        <w:t>七、其他需要说明的情况</w:t>
      </w:r>
    </w:p>
    <w:p>
      <w:pPr>
        <w:keepNext w:val="0"/>
        <w:keepLines w:val="0"/>
        <w:pageBreakBefore w:val="0"/>
        <w:widowControl/>
        <w:kinsoku/>
        <w:wordWrap/>
        <w:overflowPunct/>
        <w:topLinePunct w:val="0"/>
        <w:autoSpaceDE/>
        <w:autoSpaceDN/>
        <w:bidi w:val="0"/>
        <w:adjustRightInd/>
        <w:snapToGrid/>
        <w:spacing w:line="580" w:lineRule="exact"/>
        <w:ind w:firstLine="645"/>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80" w:lineRule="exact"/>
        <w:ind w:firstLine="645"/>
        <w:jc w:val="left"/>
        <w:textAlignment w:val="auto"/>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keepNext w:val="0"/>
        <w:keepLines w:val="0"/>
        <w:pageBreakBefore w:val="0"/>
        <w:widowControl/>
        <w:kinsoku/>
        <w:wordWrap/>
        <w:overflowPunct/>
        <w:topLinePunct w:val="0"/>
        <w:autoSpaceDE/>
        <w:autoSpaceDN/>
        <w:bidi w:val="0"/>
        <w:adjustRightInd/>
        <w:snapToGrid/>
        <w:spacing w:line="580" w:lineRule="exact"/>
        <w:ind w:firstLine="1580" w:firstLineChars="508"/>
        <w:jc w:val="left"/>
        <w:textAlignment w:val="auto"/>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80" w:lineRule="exact"/>
        <w:ind w:firstLine="1580" w:firstLineChars="508"/>
        <w:jc w:val="left"/>
        <w:textAlignment w:val="auto"/>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5"/>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default" w:eastAsia="仿宋_GB2312"/>
                <w:kern w:val="0"/>
                <w:sz w:val="20"/>
                <w:szCs w:val="20"/>
                <w:lang w:val="en-US" w:eastAsia="zh-CN"/>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r>
              <w:rPr>
                <w:rFonts w:hint="eastAsia" w:eastAsia="仿宋_GB2312"/>
                <w:kern w:val="0"/>
                <w:sz w:val="20"/>
                <w:szCs w:val="20"/>
                <w:lang w:val="en-US" w:eastAsia="zh-CN"/>
              </w:rPr>
              <w:t xml:space="preserve">  </w:t>
            </w:r>
          </w:p>
        </w:tc>
        <w:tc>
          <w:tcPr>
            <w:tcW w:w="1117" w:type="dxa"/>
            <w:tcBorders>
              <w:top w:val="nil"/>
              <w:left w:val="nil"/>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kern w:val="0"/>
                <w:sz w:val="24"/>
                <w:lang w:val="en-US" w:eastAsia="zh-CN"/>
              </w:rPr>
            </w:pPr>
            <w:r>
              <w:rPr>
                <w:rFonts w:hint="eastAsia"/>
                <w:kern w:val="0"/>
                <w:sz w:val="24"/>
              </w:rPr>
              <w:t>　</w:t>
            </w:r>
            <w:r>
              <w:rPr>
                <w:rFonts w:hint="eastAsia"/>
                <w:kern w:val="0"/>
                <w:sz w:val="24"/>
                <w:lang w:val="en-US" w:eastAsia="zh-CN"/>
              </w:rPr>
              <w:t>5</w:t>
            </w:r>
          </w:p>
          <w:p>
            <w:pPr>
              <w:widowControl/>
              <w:jc w:val="left"/>
              <w:rPr>
                <w:rFonts w:hint="eastAsia"/>
                <w:kern w:val="0"/>
                <w:sz w:val="24"/>
                <w:lang w:val="en-US" w:eastAsia="zh-CN"/>
              </w:rPr>
            </w:pP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82</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u w:val="none"/>
                <w:lang w:val="en-US" w:eastAsia="zh-CN"/>
              </w:rPr>
              <w:t>76</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67.05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3.56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64.48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46.85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17.63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2.57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0.56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514.05</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303.78</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452.33</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0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175.70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223.40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236.91</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印刷费、劳务费、租赁费、维修费、福利费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33.00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57.05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1301.28</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12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 xml:space="preserve">  0</w:t>
            </w:r>
          </w:p>
        </w:tc>
        <w:tc>
          <w:tcPr>
            <w:tcW w:w="1111"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 xml:space="preserve">  0</w:t>
            </w:r>
          </w:p>
        </w:tc>
        <w:tc>
          <w:tcPr>
            <w:tcW w:w="96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 xml:space="preserve"> 0</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5"/>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555C1"/>
    <w:multiLevelType w:val="singleLevel"/>
    <w:tmpl w:val="9FE555C1"/>
    <w:lvl w:ilvl="0" w:tentative="0">
      <w:start w:val="6"/>
      <w:numFmt w:val="chineseCounting"/>
      <w:suff w:val="nothing"/>
      <w:lvlText w:val="%1、"/>
      <w:lvlJc w:val="left"/>
      <w:rPr>
        <w:rFonts w:hint="eastAsia"/>
      </w:rPr>
    </w:lvl>
  </w:abstractNum>
  <w:abstractNum w:abstractNumId="1">
    <w:nsid w:val="CAB234F4"/>
    <w:multiLevelType w:val="singleLevel"/>
    <w:tmpl w:val="CAB234F4"/>
    <w:lvl w:ilvl="0" w:tentative="0">
      <w:start w:val="1"/>
      <w:numFmt w:val="chineseCounting"/>
      <w:suff w:val="nothing"/>
      <w:lvlText w:val="%1、"/>
      <w:lvlJc w:val="left"/>
      <w:rPr>
        <w:rFonts w:hint="eastAsia"/>
      </w:rPr>
    </w:lvl>
  </w:abstractNum>
  <w:abstractNum w:abstractNumId="2">
    <w:nsid w:val="5FED981E"/>
    <w:multiLevelType w:val="singleLevel"/>
    <w:tmpl w:val="5FED981E"/>
    <w:lvl w:ilvl="0" w:tentative="0">
      <w:start w:val="1"/>
      <w:numFmt w:val="chineseCounting"/>
      <w:suff w:val="nothing"/>
      <w:lvlText w:val="（%1）"/>
      <w:lvlJc w:val="left"/>
      <w:rPr>
        <w:rFonts w:hint="eastAsia" w:ascii="宋体" w:hAnsi="宋体" w:eastAsia="宋体" w:cs="宋体"/>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WQ3OTAwOTcyMDNlYjU3NDc2MGM5M2Y5MWQ4ODgifQ=="/>
  </w:docVars>
  <w:rsids>
    <w:rsidRoot w:val="00000000"/>
    <w:rsid w:val="007A5B66"/>
    <w:rsid w:val="07F1400C"/>
    <w:rsid w:val="377E0DA4"/>
    <w:rsid w:val="3FCC4E98"/>
    <w:rsid w:val="40E60D8E"/>
    <w:rsid w:val="41CC6917"/>
    <w:rsid w:val="52CE2DC6"/>
    <w:rsid w:val="53722F86"/>
    <w:rsid w:val="577B359D"/>
    <w:rsid w:val="5CB05523"/>
    <w:rsid w:val="5F566882"/>
    <w:rsid w:val="6D2B3E1B"/>
    <w:rsid w:val="720D5D67"/>
    <w:rsid w:val="77CD2390"/>
    <w:rsid w:val="79AE6327"/>
    <w:rsid w:val="7B1A1E6F"/>
    <w:rsid w:val="7F7D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99"/>
    <w:rPr>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paragraph" w:customStyle="1" w:styleId="8">
    <w:name w:val="列出段落1"/>
    <w:basedOn w:val="1"/>
    <w:qFormat/>
    <w:uiPriority w:val="99"/>
    <w:pPr>
      <w:ind w:firstLine="420" w:firstLineChars="200"/>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4886</Words>
  <Characters>5570</Characters>
  <Lines>0</Lines>
  <Paragraphs>0</Paragraphs>
  <TotalTime>0</TotalTime>
  <ScaleCrop>false</ScaleCrop>
  <LinksUpToDate>false</LinksUpToDate>
  <CharactersWithSpaces>6166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千里无忧</cp:lastModifiedBy>
  <cp:lastPrinted>2023-04-20T02:01:00Z</cp:lastPrinted>
  <dcterms:modified xsi:type="dcterms:W3CDTF">2023-04-20T02:31:46Z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BEB8D329A2FE4520A62DCD555FA4B9A6</vt:lpwstr>
  </property>
</Properties>
</file>